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2045" w14:textId="77777777" w:rsidR="005D37EB" w:rsidRPr="00632B66" w:rsidRDefault="005D37EB" w:rsidP="005D37EB">
      <w:pPr>
        <w:pStyle w:val="Default"/>
        <w:spacing w:after="23" w:line="276" w:lineRule="auto"/>
        <w:jc w:val="right"/>
        <w:rPr>
          <w:b/>
        </w:rPr>
      </w:pPr>
      <w:r w:rsidRPr="00632B66">
        <w:rPr>
          <w:b/>
        </w:rPr>
        <w:t>Choszczno, 1</w:t>
      </w:r>
      <w:r>
        <w:rPr>
          <w:b/>
        </w:rPr>
        <w:t>4</w:t>
      </w:r>
      <w:r w:rsidRPr="00632B66">
        <w:rPr>
          <w:b/>
        </w:rPr>
        <w:t>.07.2022r.</w:t>
      </w:r>
    </w:p>
    <w:p w14:paraId="0A90E5D0" w14:textId="77777777" w:rsidR="005D37EB" w:rsidRPr="00632B66" w:rsidRDefault="005D37EB" w:rsidP="005D37EB">
      <w:pPr>
        <w:pStyle w:val="Default"/>
        <w:spacing w:after="23" w:line="276" w:lineRule="auto"/>
        <w:jc w:val="both"/>
        <w:rPr>
          <w:b/>
        </w:rPr>
      </w:pPr>
      <w:r w:rsidRPr="00632B66">
        <w:rPr>
          <w:b/>
        </w:rPr>
        <w:t>Symbol akt szczegółowy: 1/ZP/AM/22</w:t>
      </w:r>
    </w:p>
    <w:p w14:paraId="73CD21DE" w14:textId="77777777" w:rsidR="005D37EB" w:rsidRDefault="005D37EB" w:rsidP="005D37EB">
      <w:pPr>
        <w:pStyle w:val="Default"/>
        <w:spacing w:after="23" w:line="276" w:lineRule="auto"/>
        <w:jc w:val="both"/>
        <w:rPr>
          <w:b/>
        </w:rPr>
      </w:pPr>
      <w:r w:rsidRPr="00632B66">
        <w:rPr>
          <w:b/>
        </w:rPr>
        <w:t>Znak sprawy: ZP/290/20/22</w:t>
      </w:r>
    </w:p>
    <w:p w14:paraId="1F994287" w14:textId="77777777" w:rsidR="005D37EB" w:rsidRPr="00632B66" w:rsidRDefault="005D37EB" w:rsidP="005D37EB">
      <w:pPr>
        <w:pStyle w:val="Default"/>
        <w:spacing w:after="23" w:line="276" w:lineRule="auto"/>
        <w:jc w:val="both"/>
        <w:rPr>
          <w:b/>
        </w:rPr>
      </w:pPr>
    </w:p>
    <w:p w14:paraId="5599F8B4" w14:textId="77777777" w:rsidR="005D37EB" w:rsidRPr="00632B66" w:rsidRDefault="005D37EB" w:rsidP="005D37EB">
      <w:pPr>
        <w:pStyle w:val="Default"/>
        <w:spacing w:after="23" w:line="276" w:lineRule="auto"/>
        <w:jc w:val="both"/>
        <w:rPr>
          <w:b/>
        </w:rPr>
      </w:pPr>
    </w:p>
    <w:p w14:paraId="0EE6EC0F" w14:textId="77777777" w:rsidR="005D37EB" w:rsidRDefault="005D37EB" w:rsidP="005D37EB">
      <w:pPr>
        <w:pStyle w:val="Default"/>
        <w:spacing w:after="23" w:line="276" w:lineRule="auto"/>
        <w:jc w:val="center"/>
        <w:rPr>
          <w:b/>
        </w:rPr>
      </w:pPr>
      <w:bookmarkStart w:id="0" w:name="_Hlk108441435"/>
      <w:r w:rsidRPr="00632B66">
        <w:rPr>
          <w:b/>
        </w:rPr>
        <w:t>Zapytania i odpowiedzi</w:t>
      </w:r>
    </w:p>
    <w:p w14:paraId="4BFAA6AF" w14:textId="77777777" w:rsidR="005D37EB" w:rsidRPr="00B86400" w:rsidRDefault="005D37EB" w:rsidP="005D37EB">
      <w:pPr>
        <w:pStyle w:val="Default"/>
        <w:spacing w:after="23" w:line="276" w:lineRule="auto"/>
        <w:jc w:val="center"/>
        <w:rPr>
          <w:rFonts w:eastAsia="Calibri"/>
          <w:b/>
        </w:rPr>
      </w:pPr>
      <w:r w:rsidRPr="00B86400">
        <w:rPr>
          <w:b/>
        </w:rPr>
        <w:t>Dotyczy:</w:t>
      </w:r>
      <w:r w:rsidRPr="00B86400">
        <w:rPr>
          <w:rFonts w:eastAsia="Calibri"/>
          <w:b/>
        </w:rPr>
        <w:t xml:space="preserve"> postępowania o udzielenie zamówienia publicznego na </w:t>
      </w:r>
      <w:r w:rsidRPr="00B86400">
        <w:rPr>
          <w:b/>
        </w:rPr>
        <w:t>„D</w:t>
      </w:r>
      <w:r w:rsidRPr="00B86400">
        <w:rPr>
          <w:rFonts w:eastAsia="Calibri"/>
          <w:b/>
        </w:rPr>
        <w:t>ostawę fabrycznie nowego ambulansu medycznego</w:t>
      </w:r>
      <w:r w:rsidRPr="00B86400">
        <w:rPr>
          <w:b/>
        </w:rPr>
        <w:t>”</w:t>
      </w:r>
      <w:r w:rsidRPr="00B86400">
        <w:rPr>
          <w:rFonts w:eastAsia="Calibri"/>
          <w:b/>
        </w:rPr>
        <w:t xml:space="preserve"> dla SPZOZ w Choszcznie.</w:t>
      </w:r>
    </w:p>
    <w:bookmarkEnd w:id="0"/>
    <w:p w14:paraId="1FA51C67" w14:textId="77777777" w:rsidR="005D37EB" w:rsidRDefault="005D37EB" w:rsidP="005D37EB">
      <w:pPr>
        <w:pStyle w:val="Default"/>
        <w:spacing w:line="276" w:lineRule="auto"/>
        <w:jc w:val="both"/>
        <w:rPr>
          <w:b/>
          <w:bCs/>
          <w:color w:val="4472C4" w:themeColor="accent1"/>
        </w:rPr>
      </w:pPr>
    </w:p>
    <w:p w14:paraId="45C501B7" w14:textId="77777777" w:rsidR="005D37EB" w:rsidRDefault="005D37EB" w:rsidP="005D37EB">
      <w:pPr>
        <w:pStyle w:val="Default"/>
        <w:spacing w:line="276" w:lineRule="auto"/>
        <w:jc w:val="both"/>
        <w:rPr>
          <w:b/>
          <w:bCs/>
          <w:color w:val="4472C4" w:themeColor="accent1"/>
        </w:rPr>
      </w:pPr>
    </w:p>
    <w:p w14:paraId="525E5DFB" w14:textId="1C3F5C4F" w:rsidR="005D37EB" w:rsidRDefault="005D37EB" w:rsidP="005D37EB">
      <w:pPr>
        <w:pStyle w:val="Default"/>
        <w:spacing w:line="276" w:lineRule="auto"/>
        <w:jc w:val="both"/>
        <w:rPr>
          <w:b/>
          <w:bCs/>
          <w:color w:val="4472C4" w:themeColor="accent1"/>
        </w:rPr>
      </w:pPr>
      <w:r w:rsidRPr="004E5085">
        <w:rPr>
          <w:b/>
          <w:bCs/>
          <w:color w:val="4472C4" w:themeColor="accent1"/>
        </w:rPr>
        <w:t xml:space="preserve">Zapytanie nr </w:t>
      </w:r>
      <w:r>
        <w:rPr>
          <w:b/>
          <w:bCs/>
          <w:color w:val="4472C4" w:themeColor="accent1"/>
        </w:rPr>
        <w:t>5</w:t>
      </w:r>
      <w:r w:rsidRPr="004E5085">
        <w:rPr>
          <w:b/>
          <w:bCs/>
          <w:color w:val="4472C4" w:themeColor="accent1"/>
        </w:rPr>
        <w:t xml:space="preserve"> i odpowied</w:t>
      </w:r>
      <w:r>
        <w:rPr>
          <w:b/>
          <w:bCs/>
          <w:color w:val="4472C4" w:themeColor="accent1"/>
        </w:rPr>
        <w:t>zi</w:t>
      </w:r>
      <w:r w:rsidRPr="004E5085">
        <w:rPr>
          <w:b/>
          <w:bCs/>
          <w:color w:val="4472C4" w:themeColor="accent1"/>
        </w:rPr>
        <w:t>:</w:t>
      </w:r>
    </w:p>
    <w:p w14:paraId="3D0B2612" w14:textId="77777777" w:rsidR="005D37EB" w:rsidRDefault="005D37EB" w:rsidP="005D37EB">
      <w:pPr>
        <w:pStyle w:val="Default"/>
      </w:pPr>
    </w:p>
    <w:p w14:paraId="6FC04AA4" w14:textId="77777777" w:rsidR="005D37EB" w:rsidRDefault="005D37EB" w:rsidP="005D37EB">
      <w:pPr>
        <w:pStyle w:val="Default"/>
        <w:rPr>
          <w:sz w:val="22"/>
          <w:szCs w:val="22"/>
        </w:rPr>
      </w:pPr>
      <w:r>
        <w:t xml:space="preserve"> </w:t>
      </w:r>
      <w:r>
        <w:rPr>
          <w:sz w:val="22"/>
          <w:szCs w:val="22"/>
        </w:rPr>
        <w:t xml:space="preserve">1. Czy Zamawiający dopuści na zasadzie równoważności nosze o poniższych parametrach technicznych przy spełnieniu pozostałych zapisów SWZ: </w:t>
      </w:r>
    </w:p>
    <w:p w14:paraId="3EFC6812" w14:textId="77777777" w:rsidR="005D37EB" w:rsidRDefault="005D37EB" w:rsidP="005D37EB">
      <w:pPr>
        <w:pStyle w:val="Default"/>
        <w:rPr>
          <w:sz w:val="22"/>
          <w:szCs w:val="22"/>
        </w:rPr>
      </w:pPr>
      <w:r>
        <w:rPr>
          <w:sz w:val="22"/>
          <w:szCs w:val="22"/>
        </w:rPr>
        <w:t xml:space="preserve">- bezstopniowa, wspomagana siłownikiem regulacja nachylenia oparcia pod plecami do kąta 75 stopni </w:t>
      </w:r>
    </w:p>
    <w:p w14:paraId="743142FE" w14:textId="77777777" w:rsidR="005D37EB" w:rsidRDefault="005D37EB" w:rsidP="005D37EB">
      <w:pPr>
        <w:pStyle w:val="Default"/>
        <w:rPr>
          <w:sz w:val="22"/>
          <w:szCs w:val="22"/>
        </w:rPr>
      </w:pPr>
      <w:r>
        <w:rPr>
          <w:sz w:val="22"/>
          <w:szCs w:val="22"/>
        </w:rPr>
        <w:t xml:space="preserve">- wyposażone w podgłówek anatomiczny posiadający uchylny stabilizator głowy pacjenta z możliwością wyjęcia i ułożenia głowy na wznak oraz do tzw. pozycji węszącej, która jest wskazana przy wykonywaniu zabiegu intubacji pacjenta. Wydana deklaracja zgodności z normą potwierdza, że przytoczone rozwiązanie spełnia zalecenia normy 1865-1. </w:t>
      </w:r>
    </w:p>
    <w:p w14:paraId="20E3FCEA" w14:textId="77777777" w:rsidR="005D37EB" w:rsidRDefault="005D37EB" w:rsidP="005D37EB">
      <w:pPr>
        <w:pStyle w:val="Default"/>
        <w:rPr>
          <w:sz w:val="22"/>
          <w:szCs w:val="22"/>
        </w:rPr>
      </w:pPr>
      <w:r>
        <w:rPr>
          <w:sz w:val="22"/>
          <w:szCs w:val="22"/>
        </w:rPr>
        <w:t xml:space="preserve">- pozbawione półki pod wezgłowiem, która charakteryzuje tylko i wyłącznie nosze </w:t>
      </w:r>
      <w:proofErr w:type="spellStart"/>
      <w:r>
        <w:rPr>
          <w:sz w:val="22"/>
          <w:szCs w:val="22"/>
        </w:rPr>
        <w:t>Stollenwerk</w:t>
      </w:r>
      <w:proofErr w:type="spellEnd"/>
      <w:r>
        <w:rPr>
          <w:sz w:val="22"/>
          <w:szCs w:val="22"/>
        </w:rPr>
        <w:t xml:space="preserve"> </w:t>
      </w:r>
    </w:p>
    <w:p w14:paraId="656A738C" w14:textId="31DF9A1B" w:rsidR="005D37EB" w:rsidRDefault="005D37EB" w:rsidP="005D37EB">
      <w:pPr>
        <w:pStyle w:val="Default"/>
        <w:rPr>
          <w:sz w:val="22"/>
          <w:szCs w:val="22"/>
        </w:rPr>
      </w:pPr>
      <w:r>
        <w:rPr>
          <w:sz w:val="22"/>
          <w:szCs w:val="22"/>
        </w:rPr>
        <w:t xml:space="preserve">- o nośności 227 kg </w:t>
      </w:r>
    </w:p>
    <w:p w14:paraId="6A27C25E" w14:textId="125871B5" w:rsidR="005D37EB" w:rsidRDefault="005D37EB" w:rsidP="005D37EB">
      <w:pPr>
        <w:pStyle w:val="Default"/>
        <w:rPr>
          <w:sz w:val="22"/>
          <w:szCs w:val="22"/>
        </w:rPr>
      </w:pPr>
    </w:p>
    <w:p w14:paraId="3D2D85C2" w14:textId="77777777" w:rsidR="008D0B10" w:rsidRDefault="008D0B10" w:rsidP="008D0B10">
      <w:pPr>
        <w:ind w:left="284"/>
      </w:pPr>
      <w:r>
        <w:rPr>
          <w:b/>
          <w:bCs/>
        </w:rPr>
        <w:t>Odpowiedź Zamawiającego: Zamawiający nie dopuszcza.</w:t>
      </w:r>
    </w:p>
    <w:p w14:paraId="7E44BD71" w14:textId="77777777" w:rsidR="005D37EB" w:rsidRPr="005D37EB" w:rsidRDefault="005D37EB" w:rsidP="005D37EB">
      <w:pPr>
        <w:pStyle w:val="Default"/>
        <w:rPr>
          <w:b/>
          <w:bCs/>
          <w:sz w:val="22"/>
          <w:szCs w:val="22"/>
        </w:rPr>
      </w:pPr>
    </w:p>
    <w:p w14:paraId="3FDFBA32" w14:textId="77777777" w:rsidR="005D37EB" w:rsidRDefault="005D37EB" w:rsidP="005D37EB">
      <w:pPr>
        <w:pStyle w:val="Default"/>
        <w:rPr>
          <w:sz w:val="22"/>
          <w:szCs w:val="22"/>
        </w:rPr>
      </w:pPr>
      <w:r>
        <w:rPr>
          <w:sz w:val="22"/>
          <w:szCs w:val="22"/>
        </w:rPr>
        <w:t xml:space="preserve">2. Czy Zamawiający dopuści na zasadzie równoważności transporter o poniższych parametrach technicznych przy spełnieniu pozostałych zapisów SWZ: </w:t>
      </w:r>
    </w:p>
    <w:p w14:paraId="04F6DF11" w14:textId="77777777" w:rsidR="005D37EB" w:rsidRDefault="005D37EB" w:rsidP="005D37EB">
      <w:pPr>
        <w:pStyle w:val="Default"/>
        <w:rPr>
          <w:sz w:val="22"/>
          <w:szCs w:val="22"/>
        </w:rPr>
      </w:pPr>
      <w:r>
        <w:rPr>
          <w:sz w:val="22"/>
          <w:szCs w:val="22"/>
        </w:rPr>
        <w:t xml:space="preserve">- wyposażony w 4 kółka jezdne o średnicy 150 mm w tym 4 skrętne w zakresie 360 stopni z blokadą 2 kółek do jazdy na wprost, hamulce na dwóch kółkach tylnych co jest zgodnie z zapisami normy 1865-1 przy regulacji wysokości transportera za pomocą siłownika rozpierającego golenie oraz grawitacji </w:t>
      </w:r>
    </w:p>
    <w:p w14:paraId="3E0BA09F" w14:textId="31F986B2" w:rsidR="005D37EB" w:rsidRDefault="005D37EB" w:rsidP="005D37EB">
      <w:pPr>
        <w:pStyle w:val="Default"/>
        <w:rPr>
          <w:sz w:val="22"/>
          <w:szCs w:val="22"/>
        </w:rPr>
      </w:pPr>
      <w:r>
        <w:rPr>
          <w:sz w:val="22"/>
          <w:szCs w:val="22"/>
        </w:rPr>
        <w:t xml:space="preserve">- wyposażony w system zapobiegający złożeniu się goleni, gdy kółka najazdowe nie opierają się o stół medyczny (lawetę), które dodatkowo operator może kontrolować na każdym etapie załadunku i wyprowadzania noszy za pomocą blokad zwalnianych ręcznie (zaproponowany system jest bezpieczny dla pacjenta oraz obsługującego system transportowy). Zaproponowane rozwiązanie techniczne (blokada sterowania ręczna) zabezpiecza kręgosłup operatora noszy na każdym etapie załadunku, wyprowadzania i użytkowania noszy poza ambulansem. </w:t>
      </w:r>
    </w:p>
    <w:p w14:paraId="5F1DD804" w14:textId="77777777" w:rsidR="005D37EB" w:rsidRDefault="005D37EB" w:rsidP="005D37EB">
      <w:pPr>
        <w:pStyle w:val="Default"/>
        <w:rPr>
          <w:sz w:val="22"/>
          <w:szCs w:val="22"/>
        </w:rPr>
      </w:pPr>
      <w:r>
        <w:rPr>
          <w:sz w:val="22"/>
          <w:szCs w:val="22"/>
        </w:rPr>
        <w:t xml:space="preserve">- pozbawiony regulacji wysokości najazdowej noszy do wysokości podstawy noszy (lawety/stołu medycznego) zainstalowanego w ambulansie, które to rozwiązanie wyróżnia i wskazuje na nosze </w:t>
      </w:r>
      <w:proofErr w:type="spellStart"/>
      <w:r>
        <w:rPr>
          <w:sz w:val="22"/>
          <w:szCs w:val="22"/>
        </w:rPr>
        <w:t>Stollenwerk</w:t>
      </w:r>
      <w:proofErr w:type="spellEnd"/>
      <w:r>
        <w:rPr>
          <w:sz w:val="22"/>
          <w:szCs w:val="22"/>
        </w:rPr>
        <w:t xml:space="preserve">. Jako że wysokość najazdowa noszy (transportera) jest zunifikowana, uważamy, że przytoczony parametr ma wyłącznie ograniczyć możliwość zaoferowania konkurencyjnych cenowo i jakościowo rozwiązań. </w:t>
      </w:r>
    </w:p>
    <w:p w14:paraId="16F4ECA5" w14:textId="77777777" w:rsidR="005D37EB" w:rsidRDefault="005D37EB" w:rsidP="005D37EB">
      <w:pPr>
        <w:pStyle w:val="Default"/>
        <w:rPr>
          <w:sz w:val="22"/>
          <w:szCs w:val="22"/>
        </w:rPr>
      </w:pPr>
      <w:r>
        <w:rPr>
          <w:sz w:val="22"/>
          <w:szCs w:val="22"/>
        </w:rPr>
        <w:t xml:space="preserve">- dopuszczalne obciążenie systemu transportowego (nosze + transporter) 227 kg </w:t>
      </w:r>
    </w:p>
    <w:p w14:paraId="6A3E0711" w14:textId="4AA761BE" w:rsidR="00E96A5E" w:rsidRDefault="005D37EB" w:rsidP="005D37EB">
      <w:r>
        <w:t xml:space="preserve">- transporter o wadze 35.05 kg, który dla noszy ukompletowanych spełnia zapisy i jest równoważny w swojej treści dla norm zharmonizowanych PN EN 1789 oraz PN EN 1865-1 dot. masy zestawu nosze + materac + transporter tj. masa łączna do 61 kg. Potwierdzenie zaleceń ww. norm zostało autoryzowane wydaną deklaracją zgodności z normą PN EN 1865-1 i PN EN 1789 przez niezależny badawczy ośrodek notyfikowany UE oraz wydaniem w marcu 2022 deklaracji UE MDR. W tym </w:t>
      </w:r>
      <w:r>
        <w:lastRenderedPageBreak/>
        <w:t>miejscu pragniemy nadmienić, że oferowane nosze są instalowane na terenie całej UE przy akceptacji ww. dokumentów załączonych do ww. postępowania przetargowego.</w:t>
      </w:r>
    </w:p>
    <w:p w14:paraId="16713F44" w14:textId="77777777" w:rsidR="008D0B10" w:rsidRDefault="008D0B10" w:rsidP="008D0B10">
      <w:pPr>
        <w:ind w:left="284"/>
      </w:pPr>
      <w:r>
        <w:rPr>
          <w:b/>
          <w:bCs/>
        </w:rPr>
        <w:t>Odpowiedź Zamawiającego: Zamawiający nie dopuszcza.</w:t>
      </w:r>
    </w:p>
    <w:p w14:paraId="125D9316" w14:textId="77777777" w:rsidR="005D37EB" w:rsidRDefault="005D37EB" w:rsidP="005D37EB"/>
    <w:sectPr w:rsidR="005D3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EB"/>
    <w:rsid w:val="005D37EB"/>
    <w:rsid w:val="008D0B10"/>
    <w:rsid w:val="00BC2203"/>
    <w:rsid w:val="00E96A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CEB0"/>
  <w15:chartTrackingRefBased/>
  <w15:docId w15:val="{D583A186-79FC-42D0-BE80-B3103BC9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D37E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446</Words>
  <Characters>2680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Andrzej</cp:lastModifiedBy>
  <cp:revision>3</cp:revision>
  <dcterms:created xsi:type="dcterms:W3CDTF">2022-07-14T10:05:00Z</dcterms:created>
  <dcterms:modified xsi:type="dcterms:W3CDTF">2022-07-14T11:59:00Z</dcterms:modified>
</cp:coreProperties>
</file>