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1C" w:rsidRPr="00C810E1" w:rsidRDefault="0063741C" w:rsidP="0063741C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C810E1">
        <w:rPr>
          <w:rFonts w:ascii="Times New Roman" w:hAnsi="Times New Roman" w:cs="Times New Roman"/>
          <w:b/>
          <w:bCs/>
        </w:rPr>
        <w:t>ZAŁĄCZNIK NR 6 DO SIWZ- OPIS PRZEDMIOTU ZAMÓWIENIA.</w:t>
      </w:r>
    </w:p>
    <w:p w:rsidR="0063741C" w:rsidRPr="00C810E1" w:rsidRDefault="0063741C" w:rsidP="0063741C">
      <w:pPr>
        <w:spacing w:after="120"/>
        <w:rPr>
          <w:rFonts w:ascii="Times New Roman" w:hAnsi="Times New Roman" w:cs="Times New Roman"/>
          <w:b/>
          <w:bCs/>
        </w:rPr>
      </w:pPr>
      <w:r w:rsidRPr="00C810E1">
        <w:rPr>
          <w:rFonts w:ascii="Times New Roman" w:hAnsi="Times New Roman" w:cs="Times New Roman"/>
          <w:b/>
          <w:bCs/>
        </w:rPr>
        <w:t>ZNAK: 1/ZP/USG</w:t>
      </w:r>
      <w:r w:rsidR="00BB55F1" w:rsidRPr="00C810E1">
        <w:rPr>
          <w:rFonts w:ascii="Times New Roman" w:hAnsi="Times New Roman" w:cs="Times New Roman"/>
          <w:b/>
          <w:bCs/>
        </w:rPr>
        <w:t>-2</w:t>
      </w:r>
      <w:r w:rsidRPr="00C810E1">
        <w:rPr>
          <w:rFonts w:ascii="Times New Roman" w:hAnsi="Times New Roman" w:cs="Times New Roman"/>
          <w:b/>
          <w:bCs/>
        </w:rPr>
        <w:t>/17</w:t>
      </w:r>
    </w:p>
    <w:p w:rsidR="0063741C" w:rsidRPr="00C810E1" w:rsidRDefault="00BB55F1" w:rsidP="0063741C">
      <w:pPr>
        <w:spacing w:after="120"/>
        <w:rPr>
          <w:rFonts w:ascii="Times New Roman" w:hAnsi="Times New Roman" w:cs="Times New Roman"/>
          <w:b/>
          <w:bCs/>
        </w:rPr>
      </w:pPr>
      <w:r w:rsidRPr="00C810E1">
        <w:rPr>
          <w:rFonts w:ascii="Times New Roman" w:hAnsi="Times New Roman" w:cs="Times New Roman"/>
          <w:b/>
          <w:bCs/>
        </w:rPr>
        <w:t xml:space="preserve">APARAT USG </w:t>
      </w:r>
    </w:p>
    <w:p w:rsidR="00BB55F1" w:rsidRDefault="00BB5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8"/>
        <w:gridCol w:w="1418"/>
        <w:gridCol w:w="1559"/>
        <w:gridCol w:w="1701"/>
      </w:tblGrid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wymaganych parametrów technicznych systemu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Minimalne Wartości wymagane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Parametry oferowane / Odpowiedź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Punkatcja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BB55F1" w:rsidRPr="00C810E1" w:rsidTr="00BB55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5F1" w:rsidRPr="00C810E1" w:rsidRDefault="00BB55F1" w:rsidP="00BB55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Parametry ogólne :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Model /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aparatu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Podać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oceny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Producent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Podać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oceny</w:t>
            </w:r>
            <w:proofErr w:type="spellEnd"/>
          </w:p>
        </w:tc>
      </w:tr>
      <w:tr w:rsidR="00BB55F1" w:rsidRPr="00C810E1" w:rsidTr="00BB55F1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 pochodzenia: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pStyle w:val="Standard"/>
              <w:autoSpaceDE w:val="0"/>
              <w:ind w:left="32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 w:rsidRPr="00C810E1">
              <w:rPr>
                <w:rFonts w:cs="Times New Roman"/>
                <w:sz w:val="18"/>
                <w:szCs w:val="18"/>
                <w:lang w:val="pl-PL"/>
              </w:rPr>
              <w:t>Producent/Wykonawca*</w:t>
            </w:r>
            <w:r w:rsidRPr="00C810E1">
              <w:rPr>
                <w:rFonts w:cs="Times New Roman"/>
                <w:sz w:val="18"/>
                <w:szCs w:val="18"/>
                <w:lang w:val="pl-PL"/>
              </w:rPr>
              <w:br/>
              <w:t xml:space="preserve">*Wykonawca posiadający autoryzację producenta na terenie Polski i zapewniający autoryzowany </w:t>
            </w:r>
            <w:proofErr w:type="spellStart"/>
            <w:r w:rsidRPr="00C810E1">
              <w:rPr>
                <w:rFonts w:cs="Times New Roman"/>
                <w:sz w:val="18"/>
                <w:szCs w:val="18"/>
                <w:lang w:val="pl-PL"/>
              </w:rPr>
              <w:t>serwis</w:t>
            </w:r>
            <w:proofErr w:type="spellEnd"/>
            <w:r w:rsidRPr="00C810E1">
              <w:rPr>
                <w:rFonts w:cs="Times New Roman"/>
                <w:sz w:val="18"/>
                <w:szCs w:val="18"/>
                <w:lang w:val="pl-PL"/>
              </w:rPr>
              <w:t xml:space="preserve"> producenta na terenie Polski. Potwierdzić odpowiednim dokumentem.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Aparat fabrycznie nowy.</w:t>
            </w:r>
            <w:r w:rsidRPr="00C810E1">
              <w:rPr>
                <w:rFonts w:ascii="Times New Roman" w:hAnsi="Times New Roman" w:cs="Times New Roman"/>
                <w:sz w:val="18"/>
                <w:szCs w:val="18"/>
              </w:rPr>
              <w:br/>
              <w:t>Rok produkcji 2017.</w:t>
            </w:r>
            <w:r w:rsidRPr="00C810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Wyklucza się możliwość oferowania aparatów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podemonstracyjnych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rekondycjonowanych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Oprogramowanie oferowanego aparatu z roku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Aparat wprowadzony na rynek nie wcześniej niż w 2013r.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Certyfikat CE, oraz dokumenty potwierdzające dopuszczenie do obrotu i stosowania zgodnie z Ustawą o wyrobach medycznych dostarczane wraz z aparatem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System zgodny z Unijną Dyrektywą </w:t>
            </w:r>
            <w:proofErr w:type="spellStart"/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RoHS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5F1" w:rsidRPr="00C810E1" w:rsidRDefault="00BB55F1" w:rsidP="00BB55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Konstrukcja i konfiguracja: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Liczba procesowych cyfrowych kanałów przetwarzania min. 1 000 000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1 000 000 – 4 500 000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&gt; 4 500 000 – 2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Aparat wyposażony w hamulec centralny umożliwiający bezpieczne parkowanie sprzętem i bardzo łatwą obsługę przez operatora.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Aparat wyposażony w system zabezpieczenia przewodów głowic przed najechaniem kołami aparatu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Monitor kolorowy LCD, o przekątnej min. 19”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19 – 21”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&gt;21” – 2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Rozdzielczość ekranu min. 1920 x 1080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pixeli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Obraz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diahnostyczny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wypełniający ekran monitora w min.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zmiany wysokości monitora niezależnie od konsoli aparatu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Monitor umieszczony na ruchomym wysięgniku z regulacją min.: lewo-prawo (+/-&gt;180°), góra-dół (&gt;20cm), pochył przód – tył (+/-&gt;45°)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Min. 4 aktywne, równoważne gniazda do przyłączenia głowic obrazowych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Panel dotykowy o przekątnej min. 12”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Zmiana stron na panelu dotykowym za pomocą przesuwu dotykiem jak tablet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NIE/TAK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NIE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TAK – 2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zduplikowania obrazu diagnostycznego na ekranie dotykowym panelu sterowania celem ułatwienia wykonywania procedur interwencyjnych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NIE/TAK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NIE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TAK – 2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Panel sterowania umieszczony na ruchomym wysięgniku zapewniającym regulację położenia we wszystkich kierunkach niezależnie od podstawy oraz obrót wokół osi +/-180°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Klawiatura alfanumeryczna do wpisywania danych pacjentów, komentarzy, opisów obrazu oraz badań dostępna na dotykowym panelu oraz dodatkowo wysuwana z obudowy panelu sterowania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Min. 8 regulatorów wzmocnienia głębokościowego (TGC)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Min. 4 regulatory wzmocnienia poprzecznego (LGC)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NIE/TAK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NIE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TAK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Możliwość zapamiętania własnych ustawień użytkownika tzw.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Liczba obrazów pamięci dynamicznej (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cineloop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) w trybach 2D i CD min. 1000 klatek oraz zapis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dopplera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spektralnego 30 sekund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1000 -2000 klatek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&gt;2000 klatek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Wewnętrzny dysk twardy ultrasonografu o pojemności 1 TB, formaty zapisu min. DICOM, AVI, JPG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Nagrywarka DVD R/RW wbudowana w aparat, formaty zapisu min. DICOM, AVI, JPG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Automatycznie dodawana przeglądarka plików DICOM przy nagrywaniu na nośniki zewnętrzne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Możliwość ukrycia danych pacjenta przy </w:t>
            </w:r>
            <w:r w:rsidRPr="00C81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archiwizacji na zewnętrzne nośniki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Zakres częstotliwości pracy ultrasonografu min. od 1,0 do 20,0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Zakres częstotliwości fundamentalnych (nie harmonicznych) emitowanych przez głowice obrazowe możliwe do podłączenia z aparatem w chwili jego dostawy min. od 1,0 do 18,0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Videoprinter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czarno-biały małego formatu, wbudowany w aparat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Zasilanie bateryjne wbudowane w aparat pozwalające na wprowadzenie systemu w stan uśpienia, a następnie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wybudzenie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go w czasie poniżej 30s.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5F1" w:rsidRPr="00C810E1" w:rsidRDefault="00BB55F1" w:rsidP="00BB55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Obrazowanie i prezentacja obrazu: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Dynamika systemu min. 290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290 – 300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&gt;300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– 2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Zakres głębokości penetracji min. od 1 do 30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Obrazowanie harmoniczne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Obrazowanie harmoniczne z odwróceniem impulsu (inwersją fazy)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Częstotliwość odświeżania obrazu 2D min. 2000 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2000 – 2500 Hz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&gt;2500 Hz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zmiany orientacji głowicy przy pomocy dedykowanych ikon umieszczonych na panelu dotykowym: lewo/prawo, góra/dół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Doppler pulsacyjny (PWD),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Color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Doppler (CD), Power Doppler (PD), dostępny na wszystkich głowicach obrazowych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Power Doppler z oznaczeniem kierunku przepływu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Tryb detekcji bardzo wolnych przepływów o niskiej energii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Opisać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Regulacja wielkości bramki Dopplerowskiej (SV) w zakresie min. od 1 mm do 15,0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≤1,0 – 20,0 mm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&gt;1,0 – 20,0mm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Jednoczesne wyświetlanie na ekranie dwóch obrazów w czasie rzeczywistym typu B i B/CD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Tryb duplex (B + PWD)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Tryb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Triplex (B + CD/PD + PWD)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Tryb dual (wyświetlanie dwóch obrazów na jednym ekranie)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Obrazowanie 3D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free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hand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(tzw. z wolnej ręki) dostępne na oferowanych głowicach: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convex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i liniowych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Obrazowanie panoramiczne dostępne na oferowanych głowicach: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convex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i liniowych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Pakiet badań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ogólnodiagnostycznych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zawierający specjalistyczne oprogramowanie do badań:</w:t>
            </w:r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- jamy brzusznej;</w:t>
            </w:r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- naczyniowych;</w:t>
            </w:r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- małych narządów (sutki, tarczyca, jądra, powierzchniowe);</w:t>
            </w:r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- układu kostno-szkieletowego;</w:t>
            </w:r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- pediatrycznych;</w:t>
            </w:r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- urologicznych;</w:t>
            </w:r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- ginekologiczno-położniczych;</w:t>
            </w:r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transkranialnych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- z zakresu medycyny ratunkowej;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TAK, </w:t>
            </w:r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dla wszystkich wymienionych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5F1" w:rsidRPr="00C810E1" w:rsidRDefault="00BB55F1" w:rsidP="00BB55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Funkcje użytkowe: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Min. 16-stopniowe powiększenie obrazu w czasie rzeczywistym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Min. 16-stopniowe powiększenie obrazu zamrożonego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Automatyczna optymalizacja obrazu 2D uruchamiana przy pomocy jednego przycisku (m.in. automatyczne dopasowanie wzmocnienia obrazu)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Ciągła automatyczna optymalizacja obrazu 2D uruchomiana przy pomocy jednego przycisku (m.in. automatyczne dopasowanie wzmocnienia obrazu)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Opcja automatycznego ustawiania parametrów bramki dopplerowskiej w naczyniu (wstawianie bramki, korekcja kąta i kierunku)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Praca w trybie wielokierunkowego emitowania i składania wiązki ultradźwiękowej z głowic w pełni elektronicznych, z minimalnie 7 kątami emitowania wiązki tworzącymi obraz 2D na wszystkich głowicach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convexowych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i liniowych. Opcja dostępna dla trybu 2D oraz w trybie obrazowania harmonicznego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7 -8 kątów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&gt;8 kątów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Funkcja adaptacyjnego przetwarzania obrazu redukującego artefakty i szumy z możliwością regulacją poziomu jego wzmocnienia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przesunięcia linii bazowej na zatrzymanym spektrum Dopplera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zaprogramowania w aparacie nowych pomiarów oraz kalkulacji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Pomiary odległości, min. 8 pomiarów na jednym obrazie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Pomiar obwodu, pola powierzchni, objętości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5F1" w:rsidRPr="00C810E1" w:rsidRDefault="00BB55F1" w:rsidP="00BB55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Głowice ultradźwiękowe: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Głowica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convex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do badań jamy brzusznej wykonana w technice matrycowej wielorzędowej lub innej, znacząco poprawiającej rozdzielczość np. Single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Crystal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Pure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Wave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Hanafy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Lens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Szerokopasmowa o zakresie częstotliwości min. 1,0 – 6,0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(+/-1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Obrazowanie harmoniczne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Liczba elementów akustycznych min. 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&lt;320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≥320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Kąt pola widzenia głowicy min. 70°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rozbudowy o przystawkę biopsyjną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Głowica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microconvex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do badań pediatrycznych: jamy brzusznej i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przezciemieniowych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Szerokopasmowa o zakresie częstotliwości min. 4,0 – 9,0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(+/-1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Obrazowanie harmoniczne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rPr>
          <w:trHeight w:val="10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Liczba elementów akustycznych min. 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&lt;320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≥320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Kąt pola widzenia głowicy min. 120°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rozbudowy o przystawkę biopsyjną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Głowica liniowa do badań naczyniowych, małych narządów i mięśniowo-szkieletowych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Szerokopasmowa o zakresie częstotliwości min. 3,0 – 13,0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(+/-1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Szerokość czoła głowicy 40 mm (+/-5%) przy wyłączonym obrazowaniu trapezowym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Obrazowanie harmoniczne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Liczba elementów akustycznych min. 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&lt;320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≥320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rozbudowy o przystawkę biopsyjną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Głowica liniowa do badań małych narządów, badań naczyniowych, badań pediatrycznych i badań mięśniowo-szkieletowych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Szerokopasmowa o zakresie częstotliwości min. 5,0 – 13,0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(+/-1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Obrazowanie harmoniczne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Szerokość czoła głowicy min. 50mm przy wyłączonym obrazowaniu trapezowym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≤50mm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&gt;50mm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Liczba elementów akustycznych min. 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&lt;320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≥320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rozbudowy o przystawkę biopsyjną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Głowica liniowa wysokoczęstotliwościowa do badań małych narządów, badań naczyniowych, badań pediatrycznych i badań mięśniowo-szkieletowych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Szerokopasmowa o zakresie częstotliwości min. 4,0 – 18,0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(+/-1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Obrazowanie harmoniczne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Szerokość czoła głowicy 40 mm (+/-5%) przy wyłączonym obrazowaniu trapezowym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Liczba elementów akustycznych min. 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&lt;320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≥320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rozbudowy o przystawkę biopsyjną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5F1" w:rsidRPr="00C810E1" w:rsidRDefault="00BB55F1" w:rsidP="00BB55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Inne: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Zasilanie 230V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Waga aparatu maks. 160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110 – 160 kg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&lt;110 kg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Protokół komunikacji DICOM 3.0 do przesyłania obrazów i danych, min. klasy DICOM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print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store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worklist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, raporty strukturalne naczyniowe (SR) oraz brzuszne,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storage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commit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(SC)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Raporty dla każdego rodzaju i trybu badania z możliwością dołączenia obrazów i komentarzy do raportów oraz z możliwością umieszczenia własnego logo we wzorze raportu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E1" w:rsidRDefault="00BB55F1" w:rsidP="00C810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Integracja z posiadanym przez Zamawiającego systemem archiwizacji  PACS ( firmy  ALTERIS) oraz systemem HIS AMMS ( firmy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Asseco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C81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10E1" w:rsidRPr="00C810E1" w:rsidRDefault="00C810E1" w:rsidP="00C810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Koszt integracji ponosi 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F1" w:rsidRPr="00C810E1" w:rsidRDefault="00BB55F1" w:rsidP="00BB55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sz w:val="18"/>
                <w:szCs w:val="18"/>
              </w:rPr>
              <w:t>Możliwości rozbudowy systemu dostępne na dzień składania ofert:</w:t>
            </w:r>
          </w:p>
        </w:tc>
      </w:tr>
      <w:tr w:rsidR="00BB55F1" w:rsidRPr="00C810E1" w:rsidTr="00BB55F1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Możliwość rozbudowy o obrazowanie do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elastografii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w formacie pojedynczego ekranu oraz na obrazie podzielonym na dwa pola ze wskaźnikiem ucisku oraz określeniem wielkości i lokalizacji zmiany dostępne na min. dwóch z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trech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oferowanych głowic liniowych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Możliwość rozbudowy o funkcję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elastografii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typu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ShearWave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do oceny stopnia zwłóknienia wątroby w czasie rzeczywistym kodowaną kolorem i dostępną na oferowanej głowicy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convex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10E1">
              <w:rPr>
                <w:rFonts w:ascii="Times New Roman" w:hAnsi="Times New Roman" w:cs="Times New Roman"/>
                <w:sz w:val="18"/>
                <w:szCs w:val="18"/>
              </w:rPr>
              <w:br/>
              <w:t>Wielkość bramki koloru min. 2,5 x 2,5 cm</w:t>
            </w:r>
            <w:r w:rsidRPr="00C810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Możliwość uzyskania w raporcie min. 10 wyników pomiarowych wyrażonych w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kPa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i m/s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&lt;5 x 5 cm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≥5 x 5 cm – 2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Narzędzie do oceny wiarygodności uzyskiwanego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elastogramu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SWE za pomocą dedykowanej mapy kolorów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NIE/TAK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NIE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TAK – 4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rozbudowy o oprogramowanie do badań z użyciem dopuszczonego do użycia środka kontrastującego pozwalające na zapis badania w zakresie od 3 do 10 minut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rozbudowy o opcję analizy obrazu w czasie poprzez ocenę intensywności pikseli wraz z możliwością tworzenia wykresów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Możliwość rozbudowy o opcję automatycznego pomiaru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Intima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Media z procentowym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wskażnikiem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skuteczności wykonanego pomiaru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Możliwość rozbudowy o funkcję wgrywania do aparatu i wyświetlania na ekranie obrazów z badań USG, CT, MRI, PET, X-Ray,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Mammo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celem dokonywania porównań z aktualnie wyświetlanymi </w:t>
            </w:r>
            <w:r w:rsidRPr="00C81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obrazami badania USG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rozbudowy o opcję łączenia (fuzji) żywych obrazów ultrasonograficznych z dostępnymi z pamięci ultrasonografu danymi obrazowymi z CT, MRI, PET CT oraz funkcja nawigacji narzędzi interwencyjnych (np. igła biopsyjna) wraz ze śledzeniem toru prowadzenia igły i oznaczeniem na obrazie celu interwencji (target)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wykonywania procedury fuzji i biopsji nawigacyjnej u pacjentów z wszczepionym rozrusznikiem serca.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NIE/TAK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NIE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TAK – 2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Możliwość rozbudowy o obrazowanie 4D z zastosowaniem specjalistycznych głowic objętościowych: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convex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, liniowa,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endovaginalna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Możliwość rozbudowy o wysokoczęstotliwościową głowicę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convex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wykonaną w technice matrycowej wielorzędowej lub innej znacząco poprawiającej rozdzielczość np. Single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Crystal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Pure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Wave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Hanafy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Lens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, o zakresie częstotliwości min. od 2.0 do 10.0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(+/-1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), ilości elementów akustycznych głowicy min. 256 i kącie pola skanowania min. 70°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Możliwość rozbudowy o głowicę liniową śródoperacyjną w kształcie litery „L” lub „T” o zakresie częstotliwości min. od 7.0 do 16.0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(+/-1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), ilości elementów akustycznych głowicy min. 256 i szerokości pola skanowania maks. 25mm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F1" w:rsidRPr="00C810E1" w:rsidRDefault="00BB55F1" w:rsidP="00BB55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Gwarancja i </w:t>
            </w:r>
            <w:proofErr w:type="spellStart"/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serwis</w:t>
            </w:r>
            <w:proofErr w:type="spellEnd"/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C810E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B55F1"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Wsparcie serwisowe (możliwość diagnostyki) oferowanego aparatu USG poprzez łącze zdalne.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C810E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B55F1"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Zapewnienie dostępności części zamiennych przez min. 10 lat od daty dostawy i instalacji systemu w siedzibie użytkownika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C810E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B55F1"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Instrukcja w języku polskim / dostawa z aparatem 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C810E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B55F1"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Bezpłatne szkolenie personelu medycznego w zakresie </w:t>
            </w:r>
            <w:proofErr w:type="spellStart"/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obsługi</w:t>
            </w:r>
            <w:proofErr w:type="spellEnd"/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aparatu przeprowadzone w siedzibie Zamawiającego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C810E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B55F1"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Bezpłatna aktualizacja oprogramowania w okresie gwarancyjnym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oceny</w:t>
            </w:r>
          </w:p>
        </w:tc>
      </w:tr>
    </w:tbl>
    <w:p w:rsidR="0063741C" w:rsidRDefault="0063741C" w:rsidP="00BB55F1">
      <w:pPr>
        <w:rPr>
          <w:rFonts w:ascii="Times New Roman" w:hAnsi="Times New Roman" w:cs="Times New Roman"/>
          <w:sz w:val="18"/>
          <w:szCs w:val="18"/>
        </w:rPr>
      </w:pPr>
    </w:p>
    <w:p w:rsidR="00F078DF" w:rsidRPr="00C810E1" w:rsidRDefault="00F078DF" w:rsidP="00BB55F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Maksymalna  ocena jakościowa za parametry techniczne wynosi  – 30 pkt.</w:t>
      </w:r>
    </w:p>
    <w:sectPr w:rsidR="00F078DF" w:rsidRPr="00C810E1" w:rsidSect="004B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873"/>
    <w:multiLevelType w:val="hybridMultilevel"/>
    <w:tmpl w:val="67689014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2070"/>
    <w:multiLevelType w:val="hybridMultilevel"/>
    <w:tmpl w:val="EF96134E"/>
    <w:lvl w:ilvl="0" w:tplc="002CE4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1BE"/>
    <w:multiLevelType w:val="multilevel"/>
    <w:tmpl w:val="59E4F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827A87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3EFA"/>
    <w:multiLevelType w:val="hybridMultilevel"/>
    <w:tmpl w:val="0812F2D6"/>
    <w:lvl w:ilvl="0" w:tplc="9EE2E20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F1964"/>
    <w:multiLevelType w:val="hybridMultilevel"/>
    <w:tmpl w:val="8E9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1A2B82"/>
    <w:multiLevelType w:val="hybridMultilevel"/>
    <w:tmpl w:val="2D44F6D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7">
    <w:nsid w:val="6C375217"/>
    <w:multiLevelType w:val="hybridMultilevel"/>
    <w:tmpl w:val="2B084AA8"/>
    <w:lvl w:ilvl="0" w:tplc="7846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F17D2"/>
    <w:multiLevelType w:val="hybridMultilevel"/>
    <w:tmpl w:val="0CC2B856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A22"/>
    <w:rsid w:val="004B3A22"/>
    <w:rsid w:val="0063741C"/>
    <w:rsid w:val="00B85B54"/>
    <w:rsid w:val="00BB55F1"/>
    <w:rsid w:val="00C810E1"/>
    <w:rsid w:val="00CE451D"/>
    <w:rsid w:val="00E53B97"/>
    <w:rsid w:val="00F0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51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55F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2021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LEKGIN2</dc:creator>
  <cp:keywords/>
  <dc:description/>
  <cp:lastModifiedBy>Zamówienia Publiczne</cp:lastModifiedBy>
  <cp:revision>5</cp:revision>
  <dcterms:created xsi:type="dcterms:W3CDTF">2017-07-11T10:44:00Z</dcterms:created>
  <dcterms:modified xsi:type="dcterms:W3CDTF">2017-09-07T07:23:00Z</dcterms:modified>
</cp:coreProperties>
</file>